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74E5C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6F7A1D52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E36DA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6F7A1D52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Pr="00424F47">
                        <w:rPr>
                          <w:sz w:val="32"/>
                          <w:szCs w:val="32"/>
                        </w:rPr>
                        <w:t xml:space="preserve"> bijeenkomst </w:t>
                      </w:r>
                      <w:r w:rsidR="00E36DA4">
                        <w:rPr>
                          <w:sz w:val="32"/>
                          <w:szCs w:val="32"/>
                        </w:rPr>
                        <w:t>3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1D9985C2" w:rsidR="00424F47" w:rsidRDefault="00424F47">
                            <w:r>
                              <w:t>Bij 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verantwoordingsdocument gemaakt</w:t>
                            </w:r>
                            <w:r w:rsidR="00A62833">
                              <w:t xml:space="preserve"> waarin je minimaal twee </w:t>
                            </w:r>
                            <w:proofErr w:type="spellStart"/>
                            <w:r w:rsidR="00A62833">
                              <w:t>sustainable</w:t>
                            </w:r>
                            <w:proofErr w:type="spellEnd"/>
                            <w:r w:rsidR="00A62833">
                              <w:t xml:space="preserve"> development goals en twee onderdelen van de ‘Green </w:t>
                            </w:r>
                            <w:proofErr w:type="spellStart"/>
                            <w:r w:rsidR="00A62833">
                              <w:t>Dea</w:t>
                            </w:r>
                            <w:proofErr w:type="spellEnd"/>
                            <w:r w:rsidR="00A62833">
                              <w:t xml:space="preserve">’ hebt beschreven en hebt gekoppeld aan de </w:t>
                            </w:r>
                            <w:r w:rsidR="00816509">
                              <w:t>circulaire economie.</w:t>
                            </w:r>
                            <w:r w:rsidR="00906549">
                              <w:t xml:space="preserve"> 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1D9985C2" w:rsidR="00424F47" w:rsidRDefault="00424F47">
                      <w:r>
                        <w:t>Bij 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verantwoordingsdocument gemaakt</w:t>
                      </w:r>
                      <w:r w:rsidR="00A62833">
                        <w:t xml:space="preserve"> waarin je minimaal twee </w:t>
                      </w:r>
                      <w:proofErr w:type="spellStart"/>
                      <w:r w:rsidR="00A62833">
                        <w:t>sustainable</w:t>
                      </w:r>
                      <w:proofErr w:type="spellEnd"/>
                      <w:r w:rsidR="00A62833">
                        <w:t xml:space="preserve"> development goals en twee onderdelen van de ‘Green </w:t>
                      </w:r>
                      <w:proofErr w:type="spellStart"/>
                      <w:r w:rsidR="00A62833">
                        <w:t>Dea</w:t>
                      </w:r>
                      <w:proofErr w:type="spellEnd"/>
                      <w:r w:rsidR="00A62833">
                        <w:t xml:space="preserve">’ hebt beschreven en hebt gekoppeld aan de </w:t>
                      </w:r>
                      <w:r w:rsidR="00816509">
                        <w:t>circulaire economie.</w:t>
                      </w:r>
                      <w:r w:rsidR="00906549">
                        <w:t xml:space="preserve"> 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2D0454F6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2853" w14:textId="77777777" w:rsidR="007C493C" w:rsidRDefault="007C493C" w:rsidP="003B595D">
      <w:pPr>
        <w:spacing w:line="240" w:lineRule="auto"/>
      </w:pPr>
      <w:r>
        <w:separator/>
      </w:r>
    </w:p>
  </w:endnote>
  <w:endnote w:type="continuationSeparator" w:id="0">
    <w:p w14:paraId="6C224511" w14:textId="77777777" w:rsidR="007C493C" w:rsidRDefault="007C493C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7C493C" w14:paraId="02394F6E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4EC244C" w14:textId="77777777" w:rsidR="007C493C" w:rsidRDefault="007C493C" w:rsidP="004233FB">
            <w:pPr>
              <w:spacing w:before="280" w:line="240" w:lineRule="auto"/>
            </w:pPr>
          </w:p>
        </w:tc>
      </w:tr>
    </w:tbl>
    <w:p w14:paraId="6BA8DDF0" w14:textId="77777777" w:rsidR="007C493C" w:rsidRDefault="007C493C" w:rsidP="0032501C">
      <w:pPr>
        <w:spacing w:line="160" w:lineRule="exact"/>
      </w:pPr>
    </w:p>
  </w:footnote>
  <w:footnote w:type="continuationSeparator" w:id="0">
    <w:p w14:paraId="55AA4C73" w14:textId="77777777" w:rsidR="007C493C" w:rsidRDefault="007C493C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6509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Gerjan de Ruiter</cp:lastModifiedBy>
  <cp:revision>2</cp:revision>
  <dcterms:created xsi:type="dcterms:W3CDTF">2022-02-09T13:45:00Z</dcterms:created>
  <dcterms:modified xsi:type="dcterms:W3CDTF">2022-02-09T13:45:00Z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